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exodus-38"/>
    <w:p>
      <w:pPr>
        <w:pStyle w:val="Heading1"/>
      </w:pPr>
      <w:r>
        <w:t xml:space="preserve">Homiletics Analysis: Exodus 38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Exodus 38 records the construction of the bronze altar, the bronze laver, and the enclosure of the tabernacle court, followed by a detailed accounting of all the materials contributed and used in the tabernacle’s construction. The chapter opens with Bezalel crafting the altar of burnt offering according to the specifications given in Exodus 27, using acacia wood overlaid with bronze, fitted with horns, rings, poles, and utensils. The bronze laver and its stand are then constructed from the mirrors of the women who served at the entrance of the tent of meeting — a detail that carries its own theological freight. The chapter then narrates the erection of the courtyard enclosure, with its linen hangings, bronze posts, silver hooks and bands, and the gate of the court with its embroidered screen. The chapter closes with a meticulous inventory: the gold, silver, and bronze given by the congregation, how each metal was allocated, and the names of the craftsmen — Bezalel, Oholiab, and those who worked under them. The silver specifically is traced to the census tax, a half-shekel per registered man, totaling one hundred talents and 1,775 shekels.</w:t>
      </w:r>
    </w:p>
    <w:p>
      <w:pPr>
        <w:pStyle w:val="BodyText"/>
      </w:pPr>
      <w:r>
        <w:rPr>
          <w:b/>
          <w:bCs/>
        </w:rPr>
        <w:t xml:space="preserve">This Text — Intent</w:t>
      </w:r>
    </w:p>
    <w:p>
      <w:pPr>
        <w:pStyle w:val="BodyText"/>
      </w:pPr>
      <w:r>
        <w:t xml:space="preserve">God is seeking to accomplish at least two things through this passage. First, He is displaying that His dwelling among His people is built on their willing participation — not coerced labor, not royal commandment, but the freely offered gifts of an entire congregation, down to the women’s bronze mirrors. The inventory at the chapter’s close is not bureaucratic record-keeping; it is a testimony to the whole assembly’s involvement in making a place for God. Second, the precision and completeness of the accounting — every shekel named, every talent traced — displays that God’s house is built with integrity, that nothing is lost or misappropriated, and that the offering of the people truly arrives at the purpose for which it was given. The intent is to produce in the reader a sense of the dignity and weight of participation in God’s dwelling, and a confidence that what is offered to God in obedience reaches its mark.</w:t>
      </w:r>
    </w:p>
    <w:p>
      <w:r>
        <w:pict>
          <v:rect style="width:0;height:1.5pt" o:hralign="center" o:hrstd="t" o:hr="t"/>
        </w:pict>
      </w:r>
    </w:p>
    <w:p>
      <w:pPr>
        <w:pStyle w:val="FirstParagraph"/>
      </w:pPr>
      <w:r>
        <w:rPr>
          <w:b/>
          <w:bCs/>
        </w:rPr>
        <w:t xml:space="preserve">Subject Sentence:</w:t>
      </w:r>
      <w:r>
        <w:t xml:space="preserve"> </w:t>
      </w:r>
      <w:r>
        <w:t xml:space="preserve">The tabernacle’s outer structures are built and accounted for by the whole congregation’s faithful offering.</w:t>
      </w:r>
    </w:p>
    <w:p>
      <w:r>
        <w:pict>
          <v:rect style="width:0;height:1.5pt" o:hralign="center" o:hrstd="t" o:hr="t"/>
        </w:pict>
      </w:r>
    </w:p>
    <w:p>
      <w:pPr>
        <w:pStyle w:val="FirstParagraph"/>
      </w:pPr>
      <w:r>
        <w:rPr>
          <w:b/>
          <w:bCs/>
        </w:rPr>
        <w:t xml:space="preserve">Primary Claim:</w:t>
      </w:r>
      <w:r>
        <w:t xml:space="preserve"> </w:t>
      </w:r>
      <w:r>
        <w:t xml:space="preserve">God is displaying that His dwelling is built by the whole people — every gift counted, every talent traced, every hand contributing — so that those who offer may know their giving matters and arrives where it was meant to go.</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bronze mirrors of the women (v. 8)</w:t>
      </w:r>
      <w:r>
        <w:t xml:space="preserve"> </w:t>
      </w:r>
      <w:r>
        <w:t xml:space="preserve">— This detail has generated significant interpretive attention. The women are described as serving (</w:t>
      </w:r>
      <w:r>
        <w:rPr>
          <w:i/>
          <w:iCs/>
        </w:rPr>
        <w:t xml:space="preserve">tsaba’</w:t>
      </w:r>
      <w:r>
        <w:t xml:space="preserve">) at the entrance of the tent of meeting — a phrase that evokes military language elsewhere (the same root describes the host of Israel and the Levitical service in Numbers 4 and 8). Some traditions interpret this as evidence of an early proto-diaconal or even quasi-clerical role for women in Israel’s worship, importing later ecclesiastical categories back into the text. This reading overreaches. The Hebrew does not specify what their service consisted of, and the text does not pause to elaborate — its interest is in the remarkable sacrifice they made in giving their bronze mirrors (personal grooming implements, markers of vanity or self-presentation) to be melted down for the laver in which the priests would wash before entering God’s presence. The Reformed reading does not need to adjudicate their precise role to recognize the theological point: even these women, unnamed, not among the craftsmen, offered what they had, and what they had became what the priests needed. Their offering was not sidelined — it was placed at the very threshold, where priestly preparation began.</w:t>
      </w:r>
    </w:p>
    <w:p>
      <w:pPr>
        <w:pStyle w:val="BodyText"/>
      </w:pPr>
      <w:r>
        <w:rPr>
          <w:b/>
          <w:bCs/>
        </w:rPr>
        <w:t xml:space="preserve">The inventory as theological statement</w:t>
      </w:r>
      <w:r>
        <w:t xml:space="preserve"> </w:t>
      </w:r>
      <w:r>
        <w:t xml:space="preserve">— Some readers approach the final section of the chapter (vv. 21–31) as pure administrative record, offering little homiletical value. This is a pitfall (see below). Others in pietistic traditions skip such sections entirely in search of more obviously devotional content. The Reformed and canonical approach recognizes that the inventory is itself a theological declaration: the God of Israel is a God of order, accountability, and completeness. Nothing given for His house is wasted or untracked. The silver from the census tax (vv. 25–28) — each man’s ransom paid — now physically anchors the tabernacle’s sockets, the very bases on which the entire structure rests. The theological resonance is not incidental: the ransom of every Israelite became the foundation of God’s dwelling among them.</w:t>
      </w:r>
    </w:p>
    <w:p>
      <w:pPr>
        <w:pStyle w:val="BodyText"/>
      </w:pPr>
      <w:r>
        <w:rPr>
          <w:b/>
          <w:bCs/>
        </w:rPr>
        <w:t xml:space="preserve">No significant hermeneutical controversy</w:t>
      </w:r>
      <w:r>
        <w:t xml:space="preserve"> </w:t>
      </w:r>
      <w:r>
        <w:t xml:space="preserve">divides Reformed, Lutheran, or Baptist readings of this passage in any structural sense. The chapter is descriptive-narrative, not propositional-doctrinal, and the primary interpretive task is reading it within its canonical role as the completion of the construction narrative.</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Exodus 25:1–9</w:t>
      </w:r>
      <w:r>
        <w:t xml:space="preserve"> </w:t>
      </w:r>
      <w:r>
        <w:t xml:space="preserve">— The original call for freewill offerings to build the tabernacle; this chapter is the fulfillment of that call, demonstrating that what God asked for was actually given and used.</w:t>
      </w:r>
    </w:p>
    <w:p>
      <w:pPr>
        <w:pStyle w:val="Compact"/>
        <w:numPr>
          <w:ilvl w:val="0"/>
          <w:numId w:val="1001"/>
        </w:numPr>
      </w:pPr>
      <w:r>
        <w:rPr>
          <w:b/>
          <w:bCs/>
        </w:rPr>
        <w:t xml:space="preserve">Exodus 30:11–16</w:t>
      </w:r>
      <w:r>
        <w:t xml:space="preserve"> </w:t>
      </w:r>
      <w:r>
        <w:t xml:space="preserve">— The census tax and the half-shekel ransom that becomes the silver recorded in Exodus 38:25–28; the ransom of each man literally becomes the structural foundation of the tabernacle.</w:t>
      </w:r>
    </w:p>
    <w:p>
      <w:pPr>
        <w:pStyle w:val="Compact"/>
        <w:numPr>
          <w:ilvl w:val="0"/>
          <w:numId w:val="1001"/>
        </w:numPr>
      </w:pPr>
      <w:r>
        <w:rPr>
          <w:b/>
          <w:bCs/>
        </w:rPr>
        <w:t xml:space="preserve">1 Chronicles 29:1–19</w:t>
      </w:r>
      <w:r>
        <w:t xml:space="preserve"> </w:t>
      </w:r>
      <w:r>
        <w:t xml:space="preserve">— David’s offering for the temple and Israel’s willing response; the same pattern of whole-community participation, accountability, and doxological inventory appears in the later temple-building narrative, demonstrating this is a recurring theological motif in God’s redemptive program.</w:t>
      </w:r>
    </w:p>
    <w:p>
      <w:pPr>
        <w:pStyle w:val="Compact"/>
        <w:numPr>
          <w:ilvl w:val="0"/>
          <w:numId w:val="1001"/>
        </w:numPr>
      </w:pPr>
      <w:r>
        <w:rPr>
          <w:b/>
          <w:bCs/>
        </w:rPr>
        <w:t xml:space="preserve">2 Corinthians 8:1–5; 9:6–8</w:t>
      </w:r>
      <w:r>
        <w:t xml:space="preserve"> </w:t>
      </w:r>
      <w:r>
        <w:t xml:space="preserve">— Paul’s theology of generous, willing, joyful giving as participation in the grace of God; the New Testament counterpart to the tabernacle offering, where giving is not duty-keeping but response to grace.</w:t>
      </w:r>
    </w:p>
    <w:p>
      <w:pPr>
        <w:pStyle w:val="Compact"/>
        <w:numPr>
          <w:ilvl w:val="0"/>
          <w:numId w:val="1001"/>
        </w:numPr>
      </w:pPr>
      <w:r>
        <w:rPr>
          <w:b/>
          <w:bCs/>
        </w:rPr>
        <w:t xml:space="preserve">Revelation 21:22–27</w:t>
      </w:r>
      <w:r>
        <w:t xml:space="preserve"> </w:t>
      </w:r>
      <w:r>
        <w:t xml:space="preserve">— The new Jerusalem as the ultimate dwelling of God with His people, where the nations bring their glory in — the eschatological fulfillment of the tabernacle pattern, where God’s presence among His people is complete and requires no further curtain or court.</w:t>
      </w:r>
    </w:p>
    <w:p>
      <w:r>
        <w:pict>
          <v:rect style="width:0;height:1.5pt" o:hralign="center" o:hrstd="t" o:hr="t"/>
        </w:pict>
      </w:r>
    </w:p>
    <w:p>
      <w:pPr>
        <w:pStyle w:val="FirstParagraph"/>
      </w:pPr>
      <w:r>
        <w:rPr>
          <w:b/>
          <w:bCs/>
        </w:rPr>
        <w:t xml:space="preserve">Aim:</w:t>
      </w:r>
      <w:r>
        <w:t xml:space="preserve"> </w:t>
      </w:r>
      <w:r>
        <w:t xml:space="preserve">To demonstrate that every act of faithful, willing participation in God’s purposes — however small, however unnamed — is received, accounted for, and built into what God is doing in the world.</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1–7</w:t>
            </w:r>
          </w:p>
        </w:tc>
        <w:tc>
          <w:tcPr/>
          <w:p>
            <w:pPr>
              <w:pStyle w:val="Compact"/>
            </w:pPr>
            <w:r>
              <w:t xml:space="preserve">Bezalel constructs the bronze altar of burnt offering — acacia wood overlaid with bronze, with horns, rings, poles, and utensils — according to Sinai specifications</w:t>
            </w:r>
          </w:p>
        </w:tc>
        <w:tc>
          <w:tcPr/>
          <w:p>
            <w:pPr>
              <w:pStyle w:val="Compact"/>
            </w:pPr>
            <w:r>
              <w:t xml:space="preserve">The altar is the first object named; it is the site of sacrifice, the entry point of approach to God — theologically it governs what follows</w:t>
            </w:r>
          </w:p>
        </w:tc>
      </w:tr>
      <w:tr>
        <w:tc>
          <w:tcPr/>
          <w:p>
            <w:pPr>
              <w:pStyle w:val="Compact"/>
            </w:pPr>
            <w:r>
              <w:t xml:space="preserve">8</w:t>
            </w:r>
          </w:p>
        </w:tc>
        <w:tc>
          <w:tcPr/>
          <w:p>
            <w:pPr>
              <w:pStyle w:val="Compact"/>
            </w:pPr>
            <w:r>
              <w:t xml:space="preserve">The bronze laver and its stand are made from the mirrors of the women who served at the entrance of the tent of meeting</w:t>
            </w:r>
          </w:p>
        </w:tc>
        <w:tc>
          <w:tcPr/>
          <w:p>
            <w:pPr>
              <w:pStyle w:val="Compact"/>
            </w:pPr>
            <w:r>
              <w:t xml:space="preserve">A theologically charged detail: personal possessions surrendered; self-presentation sacrificed for priestly cleansing; unnamed women contribute to priestly service</w:t>
            </w:r>
          </w:p>
        </w:tc>
      </w:tr>
      <w:tr>
        <w:tc>
          <w:tcPr/>
          <w:p>
            <w:pPr>
              <w:pStyle w:val="Compact"/>
            </w:pPr>
            <w:r>
              <w:t xml:space="preserve">9–20</w:t>
            </w:r>
          </w:p>
        </w:tc>
        <w:tc>
          <w:tcPr/>
          <w:p>
            <w:pPr>
              <w:pStyle w:val="Compact"/>
            </w:pPr>
            <w:r>
              <w:t xml:space="preserve">The court of the tabernacle is constructed: linen hangings, bronze pillars, silver hooks and bands, the gate screen of embroidered fine linen with four pillars</w:t>
            </w:r>
          </w:p>
        </w:tc>
        <w:tc>
          <w:tcPr/>
          <w:p>
            <w:pPr>
              <w:pStyle w:val="Compact"/>
            </w:pPr>
            <w:r>
              <w:t xml:space="preserve">The enclosure defines sacred space — the boundary between common and holy; even the enclosure is built with precision and with contributed materials</w:t>
            </w:r>
          </w:p>
        </w:tc>
      </w:tr>
      <w:tr>
        <w:tc>
          <w:tcPr/>
          <w:p>
            <w:pPr>
              <w:pStyle w:val="Compact"/>
            </w:pPr>
            <w:r>
              <w:t xml:space="preserve">21</w:t>
            </w:r>
          </w:p>
        </w:tc>
        <w:tc>
          <w:tcPr/>
          <w:p>
            <w:pPr>
              <w:pStyle w:val="Compact"/>
            </w:pPr>
            <w:r>
              <w:t xml:space="preserve">Transitional summary statement:</w:t>
            </w:r>
            <w:r>
              <w:t xml:space="preserve"> </w:t>
            </w:r>
            <w:r>
              <w:t xml:space="preserve">“These are the records of the tabernacle, the tabernacle of the testimony, as they were recorded at the commandment of Moses”</w:t>
            </w:r>
          </w:p>
        </w:tc>
        <w:tc>
          <w:tcPr/>
          <w:p>
            <w:pPr>
              <w:pStyle w:val="Compact"/>
            </w:pPr>
            <w:r>
              <w:rPr>
                <w:i/>
                <w:iCs/>
              </w:rPr>
              <w:t xml:space="preserve">Edut</w:t>
            </w:r>
            <w:r>
              <w:t xml:space="preserve"> </w:t>
            </w:r>
            <w:r>
              <w:t xml:space="preserve">(testimony/witness) — the tabernacle itself is a witness; the accounting follows as testimony to faithful stewardship</w:t>
            </w:r>
          </w:p>
        </w:tc>
      </w:tr>
      <w:tr>
        <w:tc>
          <w:tcPr/>
          <w:p>
            <w:pPr>
              <w:pStyle w:val="Compact"/>
            </w:pPr>
            <w:r>
              <w:t xml:space="preserve">22–23</w:t>
            </w:r>
          </w:p>
        </w:tc>
        <w:tc>
          <w:tcPr/>
          <w:p>
            <w:pPr>
              <w:pStyle w:val="Compact"/>
            </w:pPr>
            <w:r>
              <w:t xml:space="preserve">Bezalel and Oholiab named as the chief craftsmen, along with all who worked under them</w:t>
            </w:r>
          </w:p>
        </w:tc>
        <w:tc>
          <w:tcPr/>
          <w:p>
            <w:pPr>
              <w:pStyle w:val="Compact"/>
            </w:pPr>
            <w:r>
              <w:t xml:space="preserve">Individual accountability named even within a communal project; craftsmanship as calling</w:t>
            </w:r>
          </w:p>
        </w:tc>
      </w:tr>
      <w:tr>
        <w:tc>
          <w:tcPr/>
          <w:p>
            <w:pPr>
              <w:pStyle w:val="Compact"/>
            </w:pPr>
            <w:r>
              <w:t xml:space="preserve">24</w:t>
            </w:r>
          </w:p>
        </w:tc>
        <w:tc>
          <w:tcPr/>
          <w:p>
            <w:pPr>
              <w:pStyle w:val="Compact"/>
            </w:pPr>
            <w:r>
              <w:t xml:space="preserve">Total gold used: 29 talents and 730 shekels (sanctuary shekel)</w:t>
            </w:r>
          </w:p>
        </w:tc>
        <w:tc>
          <w:tcPr/>
          <w:p>
            <w:pPr>
              <w:pStyle w:val="Compact"/>
            </w:pPr>
            <w:r>
              <w:t xml:space="preserve">Specific weights — the precision signals that nothing is lost or unaccounted</w:t>
            </w:r>
          </w:p>
        </w:tc>
      </w:tr>
      <w:tr>
        <w:tc>
          <w:tcPr/>
          <w:p>
            <w:pPr>
              <w:pStyle w:val="Compact"/>
            </w:pPr>
            <w:r>
              <w:t xml:space="preserve">25–28</w:t>
            </w:r>
          </w:p>
        </w:tc>
        <w:tc>
          <w:tcPr/>
          <w:p>
            <w:pPr>
              <w:pStyle w:val="Compact"/>
            </w:pPr>
            <w:r>
              <w:t xml:space="preserve">Total silver: 100 talents and 1,775 shekels; all from the census ransom, a half-shekel per registered man (603,550 men); silver used for the 100 sockets of the sanctuary and the 100 sockets of the veil, plus hooks and bands</w:t>
            </w:r>
          </w:p>
        </w:tc>
        <w:tc>
          <w:tcPr/>
          <w:p>
            <w:pPr>
              <w:pStyle w:val="Compact"/>
            </w:pPr>
            <w:r>
              <w:t xml:space="preserve">The ransom payment — every Israelite’s redemption price — physically becomes the foundation of God’s house; theological depth in a financial record</w:t>
            </w:r>
          </w:p>
        </w:tc>
      </w:tr>
      <w:tr>
        <w:tc>
          <w:tcPr/>
          <w:p>
            <w:pPr>
              <w:pStyle w:val="Compact"/>
            </w:pPr>
            <w:r>
              <w:t xml:space="preserve">29–31</w:t>
            </w:r>
          </w:p>
        </w:tc>
        <w:tc>
          <w:tcPr/>
          <w:p>
            <w:pPr>
              <w:pStyle w:val="Compact"/>
            </w:pPr>
            <w:r>
              <w:t xml:space="preserve">Total bronze: 70 talents and 2,400 shekels; used for the altar’s sockets, the court’s pillars and bases, the pegs of the court and tabernacle</w:t>
            </w:r>
          </w:p>
        </w:tc>
        <w:tc>
          <w:tcPr/>
          <w:p>
            <w:pPr>
              <w:pStyle w:val="Compact"/>
            </w:pPr>
            <w:r>
              <w:t xml:space="preserve">Bronze governs the outer court, the place of approach; the full circuit of materials is now accounted for</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1–7</w:t>
            </w:r>
          </w:p>
        </w:tc>
        <w:tc>
          <w:tcPr/>
          <w:p>
            <w:pPr>
              <w:pStyle w:val="Compact"/>
            </w:pPr>
            <w:r>
              <w:t xml:space="preserve">The Altar of Approach: Bronze Built for Sacrifice</w:t>
            </w:r>
          </w:p>
        </w:tc>
      </w:tr>
      <w:tr>
        <w:tc>
          <w:tcPr/>
          <w:p>
            <w:pPr>
              <w:pStyle w:val="Compact"/>
            </w:pPr>
            <w:r>
              <w:t xml:space="preserve">2</w:t>
            </w:r>
          </w:p>
        </w:tc>
        <w:tc>
          <w:tcPr/>
          <w:p>
            <w:pPr>
              <w:pStyle w:val="Compact"/>
            </w:pPr>
            <w:r>
              <w:t xml:space="preserve">8</w:t>
            </w:r>
          </w:p>
        </w:tc>
        <w:tc>
          <w:tcPr/>
          <w:p>
            <w:pPr>
              <w:pStyle w:val="Compact"/>
            </w:pPr>
            <w:r>
              <w:t xml:space="preserve">The Laver of Cleansing: Women’s Mirrors, Priests’ Washing</w:t>
            </w:r>
          </w:p>
        </w:tc>
      </w:tr>
      <w:tr>
        <w:tc>
          <w:tcPr/>
          <w:p>
            <w:pPr>
              <w:pStyle w:val="Compact"/>
            </w:pPr>
            <w:r>
              <w:t xml:space="preserve">3</w:t>
            </w:r>
          </w:p>
        </w:tc>
        <w:tc>
          <w:tcPr/>
          <w:p>
            <w:pPr>
              <w:pStyle w:val="Compact"/>
            </w:pPr>
            <w:r>
              <w:t xml:space="preserve">9–20</w:t>
            </w:r>
          </w:p>
        </w:tc>
        <w:tc>
          <w:tcPr/>
          <w:p>
            <w:pPr>
              <w:pStyle w:val="Compact"/>
            </w:pPr>
            <w:r>
              <w:t xml:space="preserve">The Court Enclosure: Sacred Space Bounded and Fitted</w:t>
            </w:r>
          </w:p>
        </w:tc>
      </w:tr>
      <w:tr>
        <w:tc>
          <w:tcPr/>
          <w:p>
            <w:pPr>
              <w:pStyle w:val="Compact"/>
            </w:pPr>
            <w:r>
              <w:t xml:space="preserve">4</w:t>
            </w:r>
          </w:p>
        </w:tc>
        <w:tc>
          <w:tcPr/>
          <w:p>
            <w:pPr>
              <w:pStyle w:val="Compact"/>
            </w:pPr>
            <w:r>
              <w:t xml:space="preserve">21–23</w:t>
            </w:r>
          </w:p>
        </w:tc>
        <w:tc>
          <w:tcPr/>
          <w:p>
            <w:pPr>
              <w:pStyle w:val="Compact"/>
            </w:pPr>
            <w:r>
              <w:t xml:space="preserve">The Accounting Begins: Named Craftsmen and Commanded Record</w:t>
            </w:r>
          </w:p>
        </w:tc>
      </w:tr>
      <w:tr>
        <w:tc>
          <w:tcPr/>
          <w:p>
            <w:pPr>
              <w:pStyle w:val="Compact"/>
            </w:pPr>
            <w:r>
              <w:t xml:space="preserve">5</w:t>
            </w:r>
          </w:p>
        </w:tc>
        <w:tc>
          <w:tcPr/>
          <w:p>
            <w:pPr>
              <w:pStyle w:val="Compact"/>
            </w:pPr>
            <w:r>
              <w:t xml:space="preserve">24–31</w:t>
            </w:r>
          </w:p>
        </w:tc>
        <w:tc>
          <w:tcPr/>
          <w:p>
            <w:pPr>
              <w:pStyle w:val="Compact"/>
            </w:pPr>
            <w:r>
              <w:t xml:space="preserve">Gold, Silver, Bronze: Every Gift Traced to Its Purpose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tabernacle’s outer structures are built and accounted for by the whole congregation’s faithful offering.</w:t>
      </w:r>
    </w:p>
    <w:p>
      <w:pPr>
        <w:pStyle w:val="BodyText"/>
      </w:pPr>
      <w:r>
        <w:rPr>
          <w:b/>
          <w:bCs/>
        </w:rPr>
        <w:t xml:space="preserve">Primary Claim:</w:t>
      </w:r>
      <w:r>
        <w:t xml:space="preserve"> </w:t>
      </w:r>
      <w:r>
        <w:t xml:space="preserve">God is displaying that His dwelling is built by the whole people — every gift counted, every talent traced, every hand contributing — so that those who offer may know their giving matters and arrives where it was meant to go.</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Your offering to God is not absorbed into a void — it is accounted for and built into something. (Mind/Belief)</w:t>
      </w:r>
      <w:r>
        <w:t xml:space="preserve"> </w:t>
      </w:r>
      <w:r>
        <w:t xml:space="preserve">The inventory at the close of Exodus 38 exists so that every Israelite who gave could, in principle, look at the tabernacle and say:</w:t>
      </w:r>
      <w:r>
        <w:t xml:space="preserve"> </w:t>
      </w:r>
      <w:r>
        <w:rPr>
          <w:i/>
          <w:iCs/>
        </w:rPr>
        <w:t xml:space="preserve">my offering is in there.</w:t>
      </w:r>
      <w:r>
        <w:t xml:space="preserve"> </w:t>
      </w:r>
      <w:r>
        <w:t xml:space="preserve">The linen in the hangings, the bronze in the altar, the silver in the very sockets on which the whole structure stood — all of it traced, all of it named. The application for the believer is not primarily about financial stewardship but about theological confidence: what you offer to God in obedience does not disappear. It arrives. It is woven into what He is building. Trust that the gifts, prayers, and labor you have given in faithfulness are not lost in the machinery of a large God — they are accounted for and placed exactly where He intended them.</w:t>
      </w:r>
    </w:p>
    <w:p>
      <w:pPr>
        <w:pStyle w:val="BodyText"/>
      </w:pPr>
      <w:r>
        <w:rPr>
          <w:b/>
          <w:bCs/>
        </w:rPr>
        <w:t xml:space="preserve">2. Participation in what God is building is extended to the unnamed and the unlikely. (Affections/Worship)</w:t>
      </w:r>
      <w:r>
        <w:t xml:space="preserve"> </w:t>
      </w:r>
      <w:r>
        <w:t xml:space="preserve">The women of verse 8 are given no names. Their role is not specified. Their service is described but not defined. And yet what they had — their bronze mirrors, the implements of self-presentation and personal beauty — became what the priests needed to prepare for service at the altar. This should produce in the worshiper a kind of wondering gratitude: God does not recruit only the named, the credentialed, and the visible. He receives the offering of the unnamed and places it at the threshold. Let this reshape how you think about your own contributions — not</w:t>
      </w:r>
      <w:r>
        <w:t xml:space="preserve"> </w:t>
      </w:r>
      <w:r>
        <w:t xml:space="preserve">“I am too small to matter”</w:t>
      </w:r>
      <w:r>
        <w:t xml:space="preserve"> </w:t>
      </w:r>
      <w:r>
        <w:t xml:space="preserve">but</w:t>
      </w:r>
      <w:r>
        <w:t xml:space="preserve"> </w:t>
      </w:r>
      <w:r>
        <w:t xml:space="preserve">“God is the kind of builder who uses exactly what I have to offer.”</w:t>
      </w:r>
    </w:p>
    <w:p>
      <w:pPr>
        <w:pStyle w:val="BodyText"/>
      </w:pPr>
      <w:r>
        <w:rPr>
          <w:b/>
          <w:bCs/>
        </w:rPr>
        <w:t xml:space="preserve">3. The ransom that redeems you also becomes the foundation of God’s dwelling with you. (Mind/Belief)</w:t>
      </w:r>
      <w:r>
        <w:t xml:space="preserve"> </w:t>
      </w:r>
      <w:r>
        <w:t xml:space="preserve">The silver of Exodus 38:25–28 is not generic silver — it is the half-shekel ransom payment of 603,550 Israelite men. Each man’s redemption price was paid, gathered, and then physically cast into the sockets on which the tabernacle stood. The structure that housed God’s presence rested on the ransom of His people. For the Christian reading this through the lens of the canon, the resonance is unmistakable: the ransom of Christ — paid once, sufficient for all — is not merely the price of our escape but the foundation of God’s dwelling with us. The atonement does not simply purchase freedom; it creates the ground on which communion with God stands.</w:t>
      </w:r>
    </w:p>
    <w:p>
      <w:pPr>
        <w:pStyle w:val="BodyText"/>
      </w:pPr>
      <w:r>
        <w:rPr>
          <w:b/>
          <w:bCs/>
        </w:rPr>
        <w:t xml:space="preserve">4. Faithful stewardship of what is given to God requires transparent accounting. (Will/Behavior)</w:t>
      </w:r>
      <w:r>
        <w:t xml:space="preserve"> </w:t>
      </w:r>
      <w:r>
        <w:t xml:space="preserve">Moses does not simply receive the offerings and proceed; a full inventory is made, recorded, and preserved. Every shekel is traced. Every talent is allocated. The text names who gave what and how it was used. This is not bureaucratic excess — it is the integrity of those entrusted with others’ gifts for God’s purposes. The application is direct: wherever you are entrusted with resources given for God’s work — church finances, ministry budgets, charitable giving, congregational projects — handle them with the same precision and transparency the tabernacle records demand. Accountability is not a sign of distrust; it is the structure through which trust is built and maintained.</w:t>
      </w:r>
    </w:p>
    <w:p>
      <w:pPr>
        <w:pStyle w:val="BodyText"/>
      </w:pPr>
      <w:r>
        <w:rPr>
          <w:b/>
          <w:bCs/>
        </w:rPr>
        <w:t xml:space="preserve">5. Skilled work offered in obedience is itself worship. (Affections/Worship)</w:t>
      </w:r>
      <w:r>
        <w:t xml:space="preserve"> </w:t>
      </w:r>
      <w:r>
        <w:t xml:space="preserve">Bezalel and Oholiab are named in the accounting — not just as craftsmen, but as those who worked</w:t>
      </w:r>
      <w:r>
        <w:t xml:space="preserve"> </w:t>
      </w:r>
      <w:r>
        <w:t xml:space="preserve">“at the commandment of Moses”</w:t>
      </w:r>
      <w:r>
        <w:t xml:space="preserve"> </w:t>
      </w:r>
      <w:r>
        <w:t xml:space="preserve">with Spirit-given skill (Exodus 31:1–6). Their metalwork, weaving, and engraving are not secular labor adjacent to worship; they are the form worship takes in this chapter. The application for the believer is that the full engagement of craft, skill, and competence in God’s service is not a lesser category of devotion than singing or praying — it is one of the forms through which the whole person is offered. Do not relegate your vocation or skill set to the secular side of your life. Offer it with the intentionality of Bezalel, whose name means</w:t>
      </w:r>
      <w:r>
        <w:t xml:space="preserve"> </w:t>
      </w:r>
      <w:r>
        <w:t xml:space="preserve">“in the shadow of God.”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Exodus 38 teaches that God’s dwelling among His people is neither automatic nor arbitrary — it is built, materially and precisely, by the participation of the whole community in willing obedience to God’s command. The God revealed here is a God who receives offerings, accounts for them, and uses them for exactly the purposes He declared. The silver-from-ransom detail in particular reveals that the structure of God’s presence is grounded in redemption — His house stands on the atonement price of His people. This passage also displays the universal scope of participation in God’s purposes: craftsmen, contributors, and unnamed women who serve at the threshold all appear in the record. God’s building project includes everyone who brings what they have.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Exodus 38 carries significant weight for a Reformed understanding of grace, atonement, and the church as a gathered community. The silver-from-ransom foundation is a type that the Reformed tradition has rightly traced through to Christ: just as every Israelite’s ransom price became the literal foundation of the tabernacle, so Christ’s atoning work is not merely the precondition of the church but its structural ground. The church does not stand on human willingness or organizational capacity — it stands on the ransom paid. Furthermore, the freewill offering framework that governs the entire tabernacle construction narrative (Exodus 25–40) is consistent with the Reformed understanding that genuine obedience is not coerced but flows from a regenerate heart’s willing response to grace. The detailed accounting also reflects the Reformed insistence on stewardship and order in the management of what belongs to God — a theology of the church’s temporal affairs that takes seriously the responsibility of those entrusted with others’ gifts.</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Every gift you have offered to God in obedience — your money, your skill, your service, your sacrifice of something personal and valuable — has been received, accounted for, and built into what He is constructing. You are not giving into a void. The God who counted every shekel and traced every talent of bronze in the desert is the same God who knows exactly what you have offered and has already determined where it belongs in what He is building. And the whole structure stands on a ransom — His, not yours.</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Skipping or rushing the inventory section (vv. 21–31) as homiletically barren.</w:t>
      </w:r>
      <w:r>
        <w:t xml:space="preserve"> </w:t>
      </w:r>
      <w:r>
        <w:t xml:space="preserve">This is the most common error with this chapter. Teachers who reach verse 21 and accelerate toward the end miss the theological payload: the ransom-silver foundation, the named craftsmen, the complete accountability. The inventory is not an appendix — it is the chapter’s doxological conclusion. Preach it as testimony, not as data.</w:t>
      </w:r>
    </w:p>
    <w:p>
      <w:pPr>
        <w:numPr>
          <w:ilvl w:val="0"/>
          <w:numId w:val="1002"/>
        </w:numPr>
      </w:pPr>
      <w:r>
        <w:rPr>
          <w:b/>
          <w:bCs/>
        </w:rPr>
        <w:t xml:space="preserve">Abstracting the women’s mirrors (v. 8) into a generic lesson about sacrifice without honoring the specificity.</w:t>
      </w:r>
      <w:r>
        <w:t xml:space="preserve"> </w:t>
      </w:r>
      <w:r>
        <w:t xml:space="preserve">The detail is precise: these were</w:t>
      </w:r>
      <w:r>
        <w:t xml:space="preserve"> </w:t>
      </w:r>
      <w:r>
        <w:rPr>
          <w:i/>
          <w:iCs/>
        </w:rPr>
        <w:t xml:space="preserve">mirrors</w:t>
      </w:r>
      <w:r>
        <w:t xml:space="preserve"> </w:t>
      </w:r>
      <w:r>
        <w:t xml:space="preserve">— instruments of self-presentation — given by</w:t>
      </w:r>
      <w:r>
        <w:t xml:space="preserve"> </w:t>
      </w:r>
      <w:r>
        <w:rPr>
          <w:i/>
          <w:iCs/>
        </w:rPr>
        <w:t xml:space="preserve">women serving at the entrance</w:t>
      </w:r>
      <w:r>
        <w:t xml:space="preserve">. The application should be as specific as the text: God does not receive only large public gifts; He receives what is personally costly and personally characteristic of the giver. Generalizing too quickly (</w:t>
      </w:r>
      <w:r>
        <w:t xml:space="preserve">“give what you have!”</w:t>
      </w:r>
      <w:r>
        <w:t xml:space="preserve">) loses the texture of the text.</w:t>
      </w:r>
    </w:p>
    <w:p>
      <w:pPr>
        <w:numPr>
          <w:ilvl w:val="0"/>
          <w:numId w:val="1002"/>
        </w:numPr>
      </w:pPr>
      <w:r>
        <w:rPr>
          <w:b/>
          <w:bCs/>
        </w:rPr>
        <w:t xml:space="preserve">Treating the chapter as primarily about financial generosity.</w:t>
      </w:r>
      <w:r>
        <w:t xml:space="preserve"> </w:t>
      </w:r>
      <w:r>
        <w:t xml:space="preserve">While giving is present, the Primary Claim is not</w:t>
      </w:r>
      <w:r>
        <w:t xml:space="preserve"> </w:t>
      </w:r>
      <w:r>
        <w:t xml:space="preserve">“give generously.”</w:t>
      </w:r>
      <w:r>
        <w:t xml:space="preserve"> </w:t>
      </w:r>
      <w:r>
        <w:t xml:space="preserve">It is about the whole-community construction of God’s dwelling and the accountability of those who receive what is given. Narrowing to a stewardship sermon risks missing the theological weight of what is being built and why.</w:t>
      </w:r>
    </w:p>
    <w:p>
      <w:pPr>
        <w:numPr>
          <w:ilvl w:val="0"/>
          <w:numId w:val="1002"/>
        </w:numPr>
      </w:pPr>
      <w:r>
        <w:rPr>
          <w:b/>
          <w:bCs/>
        </w:rPr>
        <w:t xml:space="preserve">Importing the women’s service (v. 8) into contemporary debates about women’s roles in ministry.</w:t>
      </w:r>
      <w:r>
        <w:t xml:space="preserve"> </w:t>
      </w:r>
      <w:r>
        <w:t xml:space="preserve">The text does not define their service precisely, and homiletical energy spent adjudicating a contemporary debate from an ambiguous detail is energy taken from the passage’s actual claim. Note the theological significance of their offering and move on.</w:t>
      </w:r>
    </w:p>
    <w:p>
      <w:pPr>
        <w:numPr>
          <w:ilvl w:val="0"/>
          <w:numId w:val="1002"/>
        </w:numPr>
      </w:pPr>
      <w:r>
        <w:rPr>
          <w:b/>
          <w:bCs/>
        </w:rPr>
        <w:t xml:space="preserve">Failing to connect the ransom-silver (vv. 25–28) to its antecedent in Exodus 30:11–16.</w:t>
      </w:r>
      <w:r>
        <w:t xml:space="preserve"> </w:t>
      </w:r>
      <w:r>
        <w:t xml:space="preserve">Without that connection, the inventory is just numbers. With it, the sockets of the tabernacle become a proclamation that God’s house rests on redemption. This is one of the most typologically rich details in the entire tabernacle construction narrative — do not leave it as accounting.</w:t>
      </w:r>
    </w:p>
    <w:p>
      <w:pPr>
        <w:numPr>
          <w:ilvl w:val="0"/>
          <w:numId w:val="1002"/>
        </w:numPr>
      </w:pPr>
      <w:r>
        <w:rPr>
          <w:b/>
          <w:bCs/>
        </w:rPr>
        <w:t xml:space="preserve">Missing the craftsman-as-worshiper theme.</w:t>
      </w:r>
      <w:r>
        <w:t xml:space="preserve"> </w:t>
      </w:r>
      <w:r>
        <w:t xml:space="preserve">Bezalel and Oholiab’s skilled labor is Spirit-empowered (Exodus 31) and is here named in the official record of the tabernacle’s completion. Expositors who focus only on the offerings and not on the craftsmen miss the text’s implicit theology of vocation: skilled work offered in obedience is itself a form of worship, and those who do it are recorded by name in God’s accounting.</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2026-07-14T21:01:34Z</dcterms:created>
  <dcterms:modified xsi:type="dcterms:W3CDTF">2026-07-14T21:01:34Z</dcterms:modified>
</cp:coreProperties>
</file>

<file path=docProps/custom.xml><?xml version="1.0" encoding="utf-8"?>
<Properties xmlns="http://schemas.openxmlformats.org/officeDocument/2006/custom-properties" xmlns:vt="http://schemas.openxmlformats.org/officeDocument/2006/docPropsVTypes"/>
</file>